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2E5A3C"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DB11A7" w:rsidRDefault="002E5A3C" w:rsidP="00907825">
      <w:pPr>
        <w:pStyle w:val="ECHRTitleCentre2"/>
        <w:rPr>
          <w:lang w:val="fr-FR"/>
        </w:rPr>
      </w:pPr>
      <w:r w:rsidRPr="00DB11A7">
        <w:rPr>
          <w:lang w:val="fr-FR"/>
        </w:rPr>
        <w:t>Requête n</w:t>
      </w:r>
      <w:r w:rsidRPr="00DB11A7">
        <w:rPr>
          <w:vertAlign w:val="superscript"/>
          <w:lang w:val="fr-FR"/>
        </w:rPr>
        <w:t>o</w:t>
      </w:r>
      <w:r w:rsidR="006544C4" w:rsidRPr="00DB11A7">
        <w:rPr>
          <w:lang w:val="fr-FR"/>
        </w:rPr>
        <w:t xml:space="preserve"> </w:t>
      </w:r>
      <w:r w:rsidRPr="00DB11A7">
        <w:rPr>
          <w:lang w:val="fr-FR"/>
        </w:rPr>
        <w:t>28759/10</w:t>
      </w:r>
      <w:r w:rsidR="006544C4" w:rsidRPr="00DB11A7">
        <w:rPr>
          <w:lang w:val="fr-FR"/>
        </w:rPr>
        <w:br/>
      </w:r>
      <w:r w:rsidRPr="00DB11A7">
        <w:rPr>
          <w:lang w:val="fr-FR"/>
        </w:rPr>
        <w:t>Vincenzo ROSANO</w:t>
      </w:r>
      <w:r w:rsidRPr="00DB11A7">
        <w:rPr>
          <w:lang w:val="fr-FR"/>
        </w:rPr>
        <w:br/>
      </w:r>
      <w:r w:rsidR="006544C4" w:rsidRPr="00DB11A7">
        <w:rPr>
          <w:lang w:val="fr-FR"/>
        </w:rPr>
        <w:t xml:space="preserve">contre </w:t>
      </w:r>
      <w:r w:rsidRPr="00DB11A7">
        <w:rPr>
          <w:lang w:val="fr-FR"/>
        </w:rPr>
        <w:t>l</w:t>
      </w:r>
      <w:r w:rsidR="00DB11A7">
        <w:rPr>
          <w:lang w:val="fr-FR"/>
        </w:rPr>
        <w:t>’</w:t>
      </w:r>
      <w:r w:rsidRPr="00DB11A7">
        <w:rPr>
          <w:lang w:val="fr-FR"/>
        </w:rPr>
        <w:t>Italie</w:t>
      </w:r>
    </w:p>
    <w:p w:rsidR="002E5A3C" w:rsidRPr="00321E98" w:rsidRDefault="002E5A3C" w:rsidP="0070654B">
      <w:pPr>
        <w:pStyle w:val="ECHRPara"/>
        <w:rPr>
          <w:lang w:val="fr-FR"/>
        </w:rPr>
      </w:pPr>
      <w:r w:rsidRPr="00321E98">
        <w:rPr>
          <w:lang w:val="fr-FR"/>
        </w:rPr>
        <w:t>La Cour européenne des droits de l</w:t>
      </w:r>
      <w:r w:rsidR="00DB11A7">
        <w:rPr>
          <w:lang w:val="fr-FR"/>
        </w:rPr>
        <w:t>’</w:t>
      </w:r>
      <w:r w:rsidRPr="00321E98">
        <w:rPr>
          <w:lang w:val="fr-FR"/>
        </w:rPr>
        <w:t xml:space="preserve">homme (deuxième section), siégeant le </w:t>
      </w:r>
      <w:r w:rsidR="00321E98" w:rsidRPr="00321E98">
        <w:rPr>
          <w:lang w:val="fr-FR"/>
        </w:rPr>
        <w:t>14 octobre 2014</w:t>
      </w:r>
      <w:r w:rsidRPr="00321E98">
        <w:rPr>
          <w:lang w:val="fr-FR"/>
        </w:rPr>
        <w:t xml:space="preserve"> en un comité composé de :</w:t>
      </w:r>
    </w:p>
    <w:p w:rsidR="00321E98" w:rsidRPr="00321E98" w:rsidRDefault="00321E98" w:rsidP="00DB11A7">
      <w:pPr>
        <w:pStyle w:val="ECHRDecisionBody"/>
        <w:rPr>
          <w:lang w:val="fr-FR"/>
        </w:rPr>
      </w:pPr>
      <w:r>
        <w:rPr>
          <w:lang w:val="fr-FR"/>
        </w:rPr>
        <w:tab/>
      </w:r>
      <w:proofErr w:type="spellStart"/>
      <w:r w:rsidRPr="00321E98">
        <w:rPr>
          <w:lang w:val="fr-FR"/>
        </w:rPr>
        <w:t>András</w:t>
      </w:r>
      <w:proofErr w:type="spellEnd"/>
      <w:r w:rsidRPr="00321E98">
        <w:rPr>
          <w:lang w:val="fr-FR"/>
        </w:rPr>
        <w:t xml:space="preserve"> </w:t>
      </w:r>
      <w:proofErr w:type="spellStart"/>
      <w:r w:rsidRPr="00321E98">
        <w:rPr>
          <w:lang w:val="fr-FR"/>
        </w:rPr>
        <w:t>Sajó</w:t>
      </w:r>
      <w:proofErr w:type="spellEnd"/>
      <w:r w:rsidRPr="00321E98">
        <w:rPr>
          <w:lang w:val="fr-FR"/>
        </w:rPr>
        <w:t>,</w:t>
      </w:r>
      <w:r w:rsidR="00DB11A7">
        <w:rPr>
          <w:lang w:val="fr-FR"/>
        </w:rPr>
        <w:t xml:space="preserve"> </w:t>
      </w:r>
      <w:r w:rsidRPr="00DB11A7">
        <w:rPr>
          <w:i/>
          <w:lang w:val="fr-FR"/>
        </w:rPr>
        <w:t>président</w:t>
      </w:r>
      <w:r w:rsidRPr="00321E98">
        <w:rPr>
          <w:lang w:val="fr-FR"/>
        </w:rPr>
        <w:t>,</w:t>
      </w:r>
    </w:p>
    <w:p w:rsidR="00321E98" w:rsidRDefault="00321E98" w:rsidP="00DB11A7">
      <w:pPr>
        <w:pStyle w:val="ECHRDecisionBody"/>
        <w:rPr>
          <w:lang w:val="fr-FR"/>
        </w:rPr>
      </w:pPr>
      <w:r w:rsidRPr="00321E98">
        <w:rPr>
          <w:lang w:val="fr-FR"/>
        </w:rPr>
        <w:tab/>
        <w:t xml:space="preserve">Helen </w:t>
      </w:r>
      <w:r>
        <w:rPr>
          <w:lang w:val="fr-FR"/>
        </w:rPr>
        <w:t>Keller,</w:t>
      </w:r>
    </w:p>
    <w:p w:rsidR="00321E98" w:rsidRPr="00321E98" w:rsidRDefault="00DB11A7" w:rsidP="00DB11A7">
      <w:pPr>
        <w:pStyle w:val="ECHRDecisionBody"/>
        <w:rPr>
          <w:lang w:val="fr-FR"/>
        </w:rPr>
      </w:pPr>
      <w:r>
        <w:rPr>
          <w:lang w:val="fr-FR"/>
        </w:rPr>
        <w:tab/>
      </w:r>
      <w:r w:rsidR="00321E98" w:rsidRPr="00321E98">
        <w:rPr>
          <w:lang w:val="fr-FR"/>
        </w:rPr>
        <w:t xml:space="preserve">Robert </w:t>
      </w:r>
      <w:proofErr w:type="spellStart"/>
      <w:r w:rsidR="00321E98" w:rsidRPr="00321E98">
        <w:rPr>
          <w:lang w:val="fr-FR"/>
        </w:rPr>
        <w:t>Spano</w:t>
      </w:r>
      <w:proofErr w:type="spellEnd"/>
      <w:r w:rsidR="00321E98" w:rsidRPr="00321E98">
        <w:rPr>
          <w:lang w:val="fr-FR"/>
        </w:rPr>
        <w:t>,</w:t>
      </w:r>
      <w:r>
        <w:rPr>
          <w:lang w:val="fr-FR"/>
        </w:rPr>
        <w:t xml:space="preserve"> </w:t>
      </w:r>
      <w:r w:rsidR="00321E98" w:rsidRPr="00DB11A7">
        <w:rPr>
          <w:i/>
          <w:lang w:val="fr-FR"/>
        </w:rPr>
        <w:t>juges</w:t>
      </w:r>
      <w:r w:rsidR="00321E98" w:rsidRPr="00321E98">
        <w:rPr>
          <w:lang w:val="fr-FR"/>
        </w:rPr>
        <w:t>,</w:t>
      </w:r>
    </w:p>
    <w:p w:rsidR="002E5A3C" w:rsidRPr="00321E98" w:rsidRDefault="002E5A3C" w:rsidP="0070654B">
      <w:pPr>
        <w:pStyle w:val="ECHRDecisionBody"/>
        <w:rPr>
          <w:lang w:val="fr-FR"/>
        </w:rPr>
      </w:pPr>
      <w:proofErr w:type="gramStart"/>
      <w:r w:rsidRPr="00321E98">
        <w:rPr>
          <w:lang w:val="fr-FR"/>
        </w:rPr>
        <w:t>et</w:t>
      </w:r>
      <w:proofErr w:type="gramEnd"/>
      <w:r w:rsidRPr="00321E98">
        <w:rPr>
          <w:lang w:val="fr-FR"/>
        </w:rPr>
        <w:t xml:space="preserve"> de Abel Campos, </w:t>
      </w:r>
      <w:r w:rsidRPr="00321E98">
        <w:rPr>
          <w:i/>
          <w:lang w:val="fr-FR"/>
        </w:rPr>
        <w:t>greffier adjoint de section,</w:t>
      </w:r>
    </w:p>
    <w:p w:rsidR="002E5A3C" w:rsidRPr="00321E98" w:rsidRDefault="002E5A3C" w:rsidP="0070654B">
      <w:pPr>
        <w:pStyle w:val="ECHRPara"/>
        <w:rPr>
          <w:lang w:val="fr-FR"/>
        </w:rPr>
      </w:pPr>
      <w:r w:rsidRPr="00321E98">
        <w:rPr>
          <w:lang w:val="fr-FR"/>
        </w:rPr>
        <w:t xml:space="preserve">Vu la requête susmentionnée introduite le </w:t>
      </w:r>
      <w:r w:rsidR="00321E98" w:rsidRPr="00321E98">
        <w:rPr>
          <w:lang w:val="fr-FR"/>
        </w:rPr>
        <w:t>7 mai 2010</w:t>
      </w:r>
      <w:r w:rsidRPr="00321E98">
        <w:rPr>
          <w:lang w:val="fr-FR"/>
        </w:rPr>
        <w:t>,</w:t>
      </w:r>
    </w:p>
    <w:p w:rsidR="002E5A3C" w:rsidRPr="000819A2" w:rsidRDefault="002E5A3C" w:rsidP="0070654B">
      <w:pPr>
        <w:pStyle w:val="ECHRPara"/>
        <w:rPr>
          <w:lang w:val="fr-FR"/>
        </w:rPr>
      </w:pPr>
      <w:r w:rsidRPr="000819A2">
        <w:rPr>
          <w:lang w:val="fr-FR"/>
        </w:rPr>
        <w:t>Après en avoir délibéré, rend la décision suivante :</w:t>
      </w:r>
    </w:p>
    <w:p w:rsidR="002E5A3C" w:rsidRPr="00F22431" w:rsidRDefault="002E5A3C" w:rsidP="0070654B">
      <w:pPr>
        <w:pStyle w:val="ECHRTitle1"/>
      </w:pPr>
      <w:r w:rsidRPr="00F22431">
        <w:t>FAITS ET PROCÉDURE</w:t>
      </w:r>
    </w:p>
    <w:p w:rsidR="002E5A3C" w:rsidRPr="000819A2" w:rsidRDefault="002E5A3C" w:rsidP="0070654B">
      <w:pPr>
        <w:pStyle w:val="ECHRPara"/>
        <w:rPr>
          <w:lang w:val="fr-FR"/>
        </w:rPr>
      </w:pPr>
      <w:r w:rsidRPr="000819A2">
        <w:rPr>
          <w:lang w:val="fr-FR"/>
        </w:rPr>
        <w:t xml:space="preserve">Le requérant, M. Vincenzo </w:t>
      </w:r>
      <w:proofErr w:type="spellStart"/>
      <w:r w:rsidRPr="000819A2">
        <w:rPr>
          <w:lang w:val="fr-FR"/>
        </w:rPr>
        <w:t>Rosano</w:t>
      </w:r>
      <w:proofErr w:type="spellEnd"/>
      <w:r w:rsidRPr="000819A2">
        <w:rPr>
          <w:lang w:val="fr-FR"/>
        </w:rPr>
        <w:t>, est un ressortissant italien né en 1968 et résidant à Messine. Il a été représenté devant la Cour par M</w:t>
      </w:r>
      <w:r w:rsidRPr="000819A2">
        <w:rPr>
          <w:vertAlign w:val="superscript"/>
          <w:lang w:val="fr-FR"/>
        </w:rPr>
        <w:t>e</w:t>
      </w:r>
      <w:r w:rsidRPr="000819A2">
        <w:rPr>
          <w:lang w:val="fr-FR"/>
        </w:rPr>
        <w:t> P. </w:t>
      </w:r>
      <w:proofErr w:type="spellStart"/>
      <w:r w:rsidRPr="000819A2">
        <w:rPr>
          <w:lang w:val="fr-FR"/>
        </w:rPr>
        <w:t>Scavaglieri</w:t>
      </w:r>
      <w:proofErr w:type="spellEnd"/>
      <w:r w:rsidRPr="000819A2">
        <w:rPr>
          <w:lang w:val="fr-FR"/>
        </w:rPr>
        <w:t>, avocat à Adrano.</w:t>
      </w:r>
    </w:p>
    <w:p w:rsidR="002E5A3C" w:rsidRPr="000819A2" w:rsidRDefault="002E5A3C" w:rsidP="0070654B">
      <w:pPr>
        <w:pStyle w:val="ECHRPara"/>
        <w:rPr>
          <w:lang w:val="fr-FR"/>
        </w:rPr>
      </w:pPr>
      <w:r w:rsidRPr="000819A2">
        <w:rPr>
          <w:lang w:val="fr-FR"/>
        </w:rPr>
        <w:t>Le gouvernement italien (« le Gouvernement ») a été représenté par son agent, M</w:t>
      </w:r>
      <w:r w:rsidRPr="000819A2">
        <w:rPr>
          <w:vertAlign w:val="superscript"/>
          <w:lang w:val="fr-FR"/>
        </w:rPr>
        <w:t>me </w:t>
      </w:r>
      <w:r w:rsidRPr="000819A2">
        <w:rPr>
          <w:lang w:val="fr-FR"/>
        </w:rPr>
        <w:t>E. </w:t>
      </w:r>
      <w:proofErr w:type="spellStart"/>
      <w:r w:rsidRPr="000819A2">
        <w:rPr>
          <w:lang w:val="fr-FR"/>
        </w:rPr>
        <w:t>Spatafora</w:t>
      </w:r>
      <w:proofErr w:type="spellEnd"/>
      <w:r w:rsidRPr="000819A2">
        <w:rPr>
          <w:lang w:val="fr-FR"/>
        </w:rPr>
        <w:t xml:space="preserve">, ainsi que par son </w:t>
      </w:r>
      <w:proofErr w:type="spellStart"/>
      <w:r w:rsidRPr="000819A2">
        <w:rPr>
          <w:lang w:val="fr-FR"/>
        </w:rPr>
        <w:t>coagent</w:t>
      </w:r>
      <w:proofErr w:type="spellEnd"/>
      <w:r w:rsidRPr="000819A2">
        <w:rPr>
          <w:lang w:val="fr-FR"/>
        </w:rPr>
        <w:t>, M</w:t>
      </w:r>
      <w:r w:rsidRPr="000819A2">
        <w:rPr>
          <w:vertAlign w:val="superscript"/>
          <w:lang w:val="fr-FR"/>
        </w:rPr>
        <w:t>me</w:t>
      </w:r>
      <w:r w:rsidRPr="000819A2">
        <w:rPr>
          <w:lang w:val="fr-FR"/>
        </w:rPr>
        <w:t xml:space="preserve"> P. </w:t>
      </w:r>
      <w:proofErr w:type="spellStart"/>
      <w:r w:rsidRPr="000819A2">
        <w:rPr>
          <w:lang w:val="fr-FR"/>
        </w:rPr>
        <w:t>Accardo</w:t>
      </w:r>
      <w:proofErr w:type="spellEnd"/>
      <w:r w:rsidRPr="000819A2">
        <w:rPr>
          <w:lang w:val="fr-FR"/>
        </w:rPr>
        <w:t>.</w:t>
      </w:r>
    </w:p>
    <w:p w:rsidR="002E5A3C" w:rsidRPr="000819A2" w:rsidRDefault="002E5A3C" w:rsidP="0070654B">
      <w:pPr>
        <w:pStyle w:val="ECHRPara"/>
        <w:rPr>
          <w:rFonts w:ascii="Times New Roman" w:eastAsia="Times New Roman" w:hAnsi="Times New Roman" w:cs="Times New Roman"/>
          <w:szCs w:val="20"/>
          <w:lang w:val="fr-FR" w:eastAsia="fr-FR"/>
        </w:rPr>
      </w:pPr>
      <w:r w:rsidRPr="000819A2">
        <w:rPr>
          <w:lang w:val="fr-FR"/>
        </w:rPr>
        <w:t xml:space="preserve">Invoquant les articles 2 et 3 de la Convention, le requérant se plaignait de </w:t>
      </w:r>
      <w:r w:rsidRPr="000819A2">
        <w:rPr>
          <w:rFonts w:ascii="Times New Roman" w:eastAsia="Times New Roman" w:hAnsi="Times New Roman" w:cs="Times New Roman"/>
          <w:szCs w:val="20"/>
          <w:lang w:val="fr-FR" w:eastAsia="fr-FR"/>
        </w:rPr>
        <w:t>de la qualité des soins qui lui étaient administrés en prison. Il affirmait que, malgré les rapports médicaux attestant la gravité de ses pathologies, il ne pouvait pas bénéficier des soins médicaux requis et il y avait de ce fait une aggravation progressive de ses conditions de santé.</w:t>
      </w:r>
    </w:p>
    <w:p w:rsidR="002E5A3C" w:rsidRPr="00DB11A7" w:rsidRDefault="002E5A3C" w:rsidP="0070654B">
      <w:pPr>
        <w:pStyle w:val="ECHRPara"/>
        <w:rPr>
          <w:lang w:val="fr-FR"/>
        </w:rPr>
      </w:pPr>
      <w:r w:rsidRPr="000819A2">
        <w:rPr>
          <w:lang w:val="fr-FR"/>
        </w:rPr>
        <w:t xml:space="preserve">Les griefs </w:t>
      </w:r>
      <w:proofErr w:type="gramStart"/>
      <w:r w:rsidRPr="000819A2">
        <w:rPr>
          <w:lang w:val="fr-FR"/>
        </w:rPr>
        <w:t>du requérant tirés</w:t>
      </w:r>
      <w:proofErr w:type="gramEnd"/>
      <w:r w:rsidRPr="000819A2">
        <w:rPr>
          <w:lang w:val="fr-FR"/>
        </w:rPr>
        <w:t xml:space="preserve"> des articles 2 et 3 ont été communiquées au gouvernement qui a transmis ses observations sur la recevabilité et le bien</w:t>
      </w:r>
      <w:r w:rsidRPr="000819A2">
        <w:rPr>
          <w:lang w:val="fr-FR"/>
        </w:rPr>
        <w:noBreakHyphen/>
        <w:t xml:space="preserve">fondé de ceux-ci. Ces observations ont été adressées le 2 août 2013 au requérant qui a été invité à présenter les siennes. </w:t>
      </w:r>
      <w:r w:rsidRPr="00DB11A7">
        <w:rPr>
          <w:szCs w:val="24"/>
          <w:lang w:val="fr-FR"/>
        </w:rPr>
        <w:t>La lettre du Greffe est demeurée sans réponse.</w:t>
      </w:r>
    </w:p>
    <w:p w:rsidR="002E5A3C" w:rsidRPr="00321E98" w:rsidRDefault="002E5A3C" w:rsidP="0070654B">
      <w:pPr>
        <w:pStyle w:val="ECHRPara"/>
        <w:rPr>
          <w:lang w:val="fr-FR"/>
        </w:rPr>
      </w:pPr>
      <w:r w:rsidRPr="00321E98">
        <w:rPr>
          <w:lang w:val="fr-FR"/>
        </w:rPr>
        <w:t>Par une lettre recommandée avec accusé de réception du 11 juillet 2014, sur le fondement de l</w:t>
      </w:r>
      <w:r w:rsidR="00DB11A7">
        <w:rPr>
          <w:lang w:val="fr-FR"/>
        </w:rPr>
        <w:t>’</w:t>
      </w:r>
      <w:r w:rsidRPr="00321E98">
        <w:rPr>
          <w:lang w:val="fr-FR"/>
        </w:rPr>
        <w:t>article 37 § 1 a) de la Convention, la Cour a attiré l</w:t>
      </w:r>
      <w:r w:rsidR="00DB11A7">
        <w:rPr>
          <w:lang w:val="fr-FR"/>
        </w:rPr>
        <w:t>’</w:t>
      </w:r>
      <w:r w:rsidRPr="00321E98">
        <w:rPr>
          <w:lang w:val="fr-FR"/>
        </w:rPr>
        <w:t>attention du requérant sur le fait que le délai qui lui était imparti pour la présentation de ses observations était échu et qu</w:t>
      </w:r>
      <w:r w:rsidR="00DB11A7">
        <w:rPr>
          <w:lang w:val="fr-FR"/>
        </w:rPr>
        <w:t>’</w:t>
      </w:r>
      <w:r w:rsidRPr="00321E98">
        <w:rPr>
          <w:lang w:val="fr-FR"/>
        </w:rPr>
        <w:t>il n</w:t>
      </w:r>
      <w:r w:rsidR="00DB11A7">
        <w:rPr>
          <w:lang w:val="fr-FR"/>
        </w:rPr>
        <w:t>’</w:t>
      </w:r>
      <w:r w:rsidRPr="00321E98">
        <w:rPr>
          <w:lang w:val="fr-FR"/>
        </w:rPr>
        <w:t>en avait pas sollicité la prolongation. Elle a en outre précisé qu</w:t>
      </w:r>
      <w:r w:rsidR="00DB11A7">
        <w:rPr>
          <w:lang w:val="fr-FR"/>
        </w:rPr>
        <w:t>’</w:t>
      </w:r>
      <w:r w:rsidRPr="00321E98">
        <w:rPr>
          <w:lang w:val="fr-FR"/>
        </w:rPr>
        <w:t>aux termes de ce même article, elle pouvait rayer une requête du rôle lorsque, comme en l</w:t>
      </w:r>
      <w:r w:rsidR="00DB11A7">
        <w:rPr>
          <w:lang w:val="fr-FR"/>
        </w:rPr>
        <w:t>’</w:t>
      </w:r>
      <w:r w:rsidRPr="00321E98">
        <w:rPr>
          <w:lang w:val="fr-FR"/>
        </w:rPr>
        <w:t>espèce, les circonstances donnent à penser que le requérant n</w:t>
      </w:r>
      <w:r w:rsidR="00DB11A7">
        <w:rPr>
          <w:lang w:val="fr-FR"/>
        </w:rPr>
        <w:t>’</w:t>
      </w:r>
      <w:r w:rsidRPr="00321E98">
        <w:rPr>
          <w:lang w:val="fr-FR"/>
        </w:rPr>
        <w:t>entend pas maintenir celle-ci. La lettre est bien parvenue au requérant qui n</w:t>
      </w:r>
      <w:r w:rsidR="00DB11A7">
        <w:rPr>
          <w:lang w:val="fr-FR"/>
        </w:rPr>
        <w:t>’</w:t>
      </w:r>
      <w:r w:rsidRPr="00321E98">
        <w:rPr>
          <w:lang w:val="fr-FR"/>
        </w:rPr>
        <w:t>y a pas répondu.</w:t>
      </w:r>
    </w:p>
    <w:p w:rsidR="002E5A3C" w:rsidRPr="00DB11A7" w:rsidRDefault="002E5A3C" w:rsidP="0070654B">
      <w:pPr>
        <w:pStyle w:val="ECHRTitle1"/>
        <w:rPr>
          <w:lang w:val="fr-FR"/>
        </w:rPr>
      </w:pPr>
      <w:r w:rsidRPr="00DB11A7">
        <w:rPr>
          <w:lang w:val="fr-FR"/>
        </w:rPr>
        <w:t>EN DROIT</w:t>
      </w:r>
    </w:p>
    <w:p w:rsidR="002E5A3C" w:rsidRDefault="002E5A3C" w:rsidP="0070654B">
      <w:pPr>
        <w:pStyle w:val="ECHRPara"/>
        <w:rPr>
          <w:lang w:val="fr-FR"/>
        </w:rPr>
      </w:pPr>
      <w:r w:rsidRPr="00321E98">
        <w:rPr>
          <w:lang w:val="fr-FR"/>
        </w:rPr>
        <w:t>À la lumière de ce qui précède, la Cour conclut que le requérant n</w:t>
      </w:r>
      <w:r w:rsidR="00DB11A7">
        <w:rPr>
          <w:lang w:val="fr-FR"/>
        </w:rPr>
        <w:t>’</w:t>
      </w:r>
      <w:r w:rsidRPr="00321E98">
        <w:rPr>
          <w:lang w:val="fr-FR"/>
        </w:rPr>
        <w:t>entend plus maintenir sa requête (article 37 § 1 a) de la Convention). En l</w:t>
      </w:r>
      <w:r w:rsidR="00DB11A7">
        <w:rPr>
          <w:lang w:val="fr-FR"/>
        </w:rPr>
        <w:t>’</w:t>
      </w:r>
      <w:r w:rsidRPr="00321E98">
        <w:rPr>
          <w:lang w:val="fr-FR"/>
        </w:rPr>
        <w:t>absence de circonstances particulières touchant au respect des droits garantis par la Convention ou ses Protocoles, la Cour considère qu</w:t>
      </w:r>
      <w:r w:rsidR="00DB11A7">
        <w:rPr>
          <w:lang w:val="fr-FR"/>
        </w:rPr>
        <w:t>’</w:t>
      </w:r>
      <w:r w:rsidRPr="00321E98">
        <w:rPr>
          <w:lang w:val="fr-FR"/>
        </w:rPr>
        <w:t>il ne se justifie plus de poursuivre l</w:t>
      </w:r>
      <w:r w:rsidR="00DB11A7">
        <w:rPr>
          <w:lang w:val="fr-FR"/>
        </w:rPr>
        <w:t>’</w:t>
      </w:r>
      <w:r w:rsidRPr="00321E98">
        <w:rPr>
          <w:lang w:val="fr-FR"/>
        </w:rPr>
        <w:t>examen de la requête, au sens de l</w:t>
      </w:r>
      <w:r w:rsidR="00DB11A7">
        <w:rPr>
          <w:lang w:val="fr-FR"/>
        </w:rPr>
        <w:t>’</w:t>
      </w:r>
      <w:r w:rsidRPr="00321E98">
        <w:rPr>
          <w:lang w:val="fr-FR"/>
        </w:rPr>
        <w:t>article 37 § 1 de la Convention.</w:t>
      </w:r>
    </w:p>
    <w:p w:rsidR="002E5A3C" w:rsidRPr="00321E98" w:rsidRDefault="002E5A3C" w:rsidP="0070654B">
      <w:pPr>
        <w:pStyle w:val="ECHRPara"/>
        <w:rPr>
          <w:lang w:val="fr-FR"/>
        </w:rPr>
      </w:pPr>
      <w:r w:rsidRPr="00321E98">
        <w:rPr>
          <w:lang w:val="fr-FR"/>
        </w:rPr>
        <w:t>Il y a donc lieu de rayer l</w:t>
      </w:r>
      <w:r w:rsidR="00DB11A7">
        <w:rPr>
          <w:lang w:val="fr-FR"/>
        </w:rPr>
        <w:t>’</w:t>
      </w:r>
      <w:r w:rsidRPr="00321E98">
        <w:rPr>
          <w:lang w:val="fr-FR"/>
        </w:rPr>
        <w:t>affaire du rôle.</w:t>
      </w:r>
    </w:p>
    <w:p w:rsidR="002E5A3C" w:rsidRPr="00321E98" w:rsidRDefault="002E5A3C" w:rsidP="0070654B">
      <w:pPr>
        <w:pStyle w:val="JuParaLast"/>
        <w:rPr>
          <w:i/>
          <w:lang w:val="fr-FR"/>
        </w:rPr>
      </w:pPr>
      <w:r w:rsidRPr="00321E98">
        <w:rPr>
          <w:lang w:val="fr-FR"/>
        </w:rPr>
        <w:t>Par ces motifs, la Cour, à l</w:t>
      </w:r>
      <w:r w:rsidR="00DB11A7">
        <w:rPr>
          <w:lang w:val="fr-FR"/>
        </w:rPr>
        <w:t>’</w:t>
      </w:r>
      <w:r w:rsidRPr="00321E98">
        <w:rPr>
          <w:lang w:val="fr-FR"/>
        </w:rPr>
        <w:t>unanimité,</w:t>
      </w:r>
    </w:p>
    <w:p w:rsidR="002E5A3C" w:rsidRPr="000819A2" w:rsidRDefault="002E5A3C" w:rsidP="0070654B">
      <w:pPr>
        <w:pStyle w:val="DecList"/>
        <w:rPr>
          <w:lang w:val="fr-FR"/>
        </w:rPr>
      </w:pPr>
      <w:r w:rsidRPr="000819A2">
        <w:rPr>
          <w:i/>
          <w:lang w:val="fr-FR"/>
        </w:rPr>
        <w:t>Décide</w:t>
      </w:r>
      <w:r w:rsidRPr="000819A2">
        <w:rPr>
          <w:lang w:val="fr-FR"/>
        </w:rPr>
        <w:t xml:space="preserve"> de rayer la requête du rôle.</w:t>
      </w:r>
    </w:p>
    <w:p w:rsidR="00CE6ED9" w:rsidRPr="00DB11A7" w:rsidRDefault="002E5A3C" w:rsidP="00B87FB1">
      <w:pPr>
        <w:pStyle w:val="JuSigned"/>
        <w:rPr>
          <w:lang w:val="fr-FR"/>
        </w:rPr>
      </w:pPr>
      <w:r w:rsidRPr="000819A2">
        <w:rPr>
          <w:lang w:val="fr-FR"/>
        </w:rPr>
        <w:tab/>
      </w:r>
      <w:r w:rsidRPr="00DB11A7">
        <w:rPr>
          <w:lang w:val="fr-FR"/>
        </w:rPr>
        <w:t>Abel Campos</w:t>
      </w:r>
      <w:r w:rsidR="006544C4" w:rsidRPr="00DB11A7">
        <w:rPr>
          <w:lang w:val="fr-FR"/>
        </w:rPr>
        <w:tab/>
      </w:r>
      <w:proofErr w:type="spellStart"/>
      <w:r w:rsidRPr="00DB11A7">
        <w:rPr>
          <w:lang w:val="fr-FR"/>
        </w:rPr>
        <w:t>András</w:t>
      </w:r>
      <w:proofErr w:type="spellEnd"/>
      <w:r w:rsidRPr="00DB11A7">
        <w:rPr>
          <w:lang w:val="fr-FR"/>
        </w:rPr>
        <w:t xml:space="preserve"> </w:t>
      </w:r>
      <w:proofErr w:type="spellStart"/>
      <w:r w:rsidRPr="00DB11A7">
        <w:rPr>
          <w:lang w:val="fr-FR"/>
        </w:rPr>
        <w:t>Sajó</w:t>
      </w:r>
      <w:proofErr w:type="spellEnd"/>
      <w:r w:rsidR="006544C4" w:rsidRPr="00DB11A7">
        <w:rPr>
          <w:lang w:val="fr-FR"/>
        </w:rPr>
        <w:br/>
      </w:r>
      <w:r w:rsidR="006544C4" w:rsidRPr="00DB11A7">
        <w:rPr>
          <w:lang w:val="fr-FR"/>
        </w:rPr>
        <w:tab/>
      </w:r>
      <w:r w:rsidRPr="00DB11A7">
        <w:rPr>
          <w:lang w:val="fr-FR"/>
        </w:rPr>
        <w:t>Greffier adjoint</w:t>
      </w:r>
      <w:r w:rsidR="006544C4" w:rsidRPr="00DB11A7">
        <w:rPr>
          <w:lang w:val="fr-FR"/>
        </w:rPr>
        <w:tab/>
      </w:r>
      <w:r w:rsidRPr="00DB11A7">
        <w:rPr>
          <w:lang w:val="fr-FR"/>
        </w:rPr>
        <w:t>Président</w:t>
      </w:r>
    </w:p>
    <w:sectPr w:rsidR="00CE6ED9" w:rsidRPr="00DB11A7" w:rsidSect="00AF7102">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3C" w:rsidRDefault="002E5A3C" w:rsidP="006544C4">
      <w:r>
        <w:separator/>
      </w:r>
    </w:p>
  </w:endnote>
  <w:endnote w:type="continuationSeparator" w:id="0">
    <w:p w:rsidR="002E5A3C" w:rsidRDefault="002E5A3C"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3C" w:rsidRPr="00150BFA" w:rsidRDefault="002E5A3C" w:rsidP="0020718E">
    <w:pPr>
      <w:jc w:val="center"/>
    </w:pPr>
    <w:r>
      <w:rPr>
        <w:noProof/>
        <w:lang w:eastAsia="ja-JP"/>
      </w:rPr>
      <w:drawing>
        <wp:inline distT="0" distB="0" distL="0" distR="0" wp14:anchorId="6EA43BD1" wp14:editId="2D97B9A3">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792AD3"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3C" w:rsidRDefault="002E5A3C" w:rsidP="006544C4">
      <w:r>
        <w:separator/>
      </w:r>
    </w:p>
  </w:footnote>
  <w:footnote w:type="continuationSeparator" w:id="0">
    <w:p w:rsidR="002E5A3C" w:rsidRDefault="002E5A3C"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2E5A3C"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792AD3">
      <w:rPr>
        <w:rStyle w:val="PageNumber"/>
        <w:noProof/>
        <w:lang w:val="en-GB"/>
      </w:rPr>
      <w:t>18</w:t>
    </w:r>
    <w:r>
      <w:rPr>
        <w:rStyle w:val="PageNumber"/>
        <w:lang w:val="en-GB"/>
      </w:rPr>
      <w:fldChar w:fldCharType="end"/>
    </w:r>
    <w:r w:rsidR="00334EC5" w:rsidRPr="000D527F">
      <w:rPr>
        <w:lang w:val="en-GB"/>
      </w:rPr>
      <w:tab/>
      <w:t xml:space="preserve">DÉCISION </w:t>
    </w:r>
    <w:r>
      <w:rPr>
        <w:lang w:val="en-GB"/>
      </w:rPr>
      <w:t>ROSANO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34EC5" w:rsidP="006544C4">
    <w:pPr>
      <w:pStyle w:val="ECHRHeader"/>
      <w:rPr>
        <w:lang w:val="en-GB"/>
      </w:rPr>
    </w:pPr>
    <w:r>
      <w:tab/>
    </w:r>
    <w:r w:rsidRPr="000D527F">
      <w:rPr>
        <w:lang w:val="en-GB"/>
      </w:rPr>
      <w:t xml:space="preserve">DÉCISION </w:t>
    </w:r>
    <w:r w:rsidR="002E5A3C">
      <w:rPr>
        <w:lang w:val="en-GB"/>
      </w:rPr>
      <w:t>ROSANO c. ITALIE</w:t>
    </w:r>
    <w:r w:rsidRPr="000D527F">
      <w:rPr>
        <w:lang w:val="en-GB"/>
      </w:rPr>
      <w:tab/>
    </w:r>
    <w:r w:rsidR="002E5A3C">
      <w:rPr>
        <w:rStyle w:val="PageNumber"/>
        <w:lang w:val="en-GB"/>
      </w:rPr>
      <w:fldChar w:fldCharType="begin"/>
    </w:r>
    <w:r w:rsidR="002E5A3C">
      <w:rPr>
        <w:rStyle w:val="PageNumber"/>
        <w:lang w:val="en-GB"/>
      </w:rPr>
      <w:instrText xml:space="preserve"> PAGE </w:instrText>
    </w:r>
    <w:r w:rsidR="002E5A3C">
      <w:rPr>
        <w:rStyle w:val="PageNumber"/>
        <w:lang w:val="en-GB"/>
      </w:rPr>
      <w:fldChar w:fldCharType="separate"/>
    </w:r>
    <w:r w:rsidR="00792AD3">
      <w:rPr>
        <w:rStyle w:val="PageNumber"/>
        <w:noProof/>
        <w:lang w:val="en-GB"/>
      </w:rPr>
      <w:t>18</w:t>
    </w:r>
    <w:r w:rsidR="002E5A3C">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3C" w:rsidRPr="00A45145" w:rsidRDefault="002E5A3C" w:rsidP="00A45145">
    <w:pPr>
      <w:jc w:val="center"/>
    </w:pPr>
    <w:r>
      <w:rPr>
        <w:noProof/>
        <w:lang w:eastAsia="ja-JP"/>
      </w:rPr>
      <w:drawing>
        <wp:inline distT="0" distB="0" distL="0" distR="0" wp14:anchorId="09F21E30" wp14:editId="287CDAE0">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792AD3"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2E5A3C"/>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819A2"/>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E5A3C"/>
    <w:rsid w:val="002F2AF7"/>
    <w:rsid w:val="002F7E1C"/>
    <w:rsid w:val="00301A75"/>
    <w:rsid w:val="00302F70"/>
    <w:rsid w:val="0030336F"/>
    <w:rsid w:val="0030375E"/>
    <w:rsid w:val="00312A30"/>
    <w:rsid w:val="00320F72"/>
    <w:rsid w:val="00321E98"/>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2AD3"/>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C284C"/>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11A7"/>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DB11A7"/>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link w:val="ECHRPara"/>
    <w:rsid w:val="002E5A3C"/>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DB11A7"/>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link w:val="ECHRPara"/>
    <w:rsid w:val="002E5A3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3CF4B-B974-4097-A051-5EFCEF9411A8}"/>
</file>

<file path=customXml/itemProps2.xml><?xml version="1.0" encoding="utf-8"?>
<ds:datastoreItem xmlns:ds="http://schemas.openxmlformats.org/officeDocument/2006/customXml" ds:itemID="{5AA3ABB4-6EB8-489D-AD06-771257FE8EAF}"/>
</file>

<file path=customXml/itemProps3.xml><?xml version="1.0" encoding="utf-8"?>
<ds:datastoreItem xmlns:ds="http://schemas.openxmlformats.org/officeDocument/2006/customXml" ds:itemID="{2D425F30-997A-4413-AA56-D9B1B01EBDD6}"/>
</file>

<file path=customXml/itemProps4.xml><?xml version="1.0" encoding="utf-8"?>
<ds:datastoreItem xmlns:ds="http://schemas.openxmlformats.org/officeDocument/2006/customXml" ds:itemID="{5BAA4EAC-57B6-4FAE-98CF-ED3C8E089D2A}"/>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2014-11-13T09:53:00Z</dcterms:created>
  <dcterms:modified xsi:type="dcterms:W3CDTF">2014-11-13T09:53:00Z</dcterms:modified>
  <cp:category>ECHR Template</cp:category>
</cp:coreProperties>
</file>